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872B" w14:textId="77777777" w:rsidR="000C1E8A" w:rsidRDefault="000C1E8A">
      <w:pPr>
        <w:rPr>
          <w:rFonts w:ascii="Arial" w:hAnsi="Arial"/>
          <w:sz w:val="28"/>
          <w:szCs w:val="28"/>
        </w:rPr>
      </w:pPr>
    </w:p>
    <w:tbl>
      <w:tblPr>
        <w:tblW w:w="9072" w:type="dxa"/>
        <w:tblInd w:w="-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16"/>
        <w:gridCol w:w="2441"/>
        <w:gridCol w:w="2715"/>
      </w:tblGrid>
      <w:tr w:rsidR="000C1E8A" w14:paraId="66612154" w14:textId="77777777">
        <w:trPr>
          <w:trHeight w:val="600"/>
        </w:trPr>
        <w:tc>
          <w:tcPr>
            <w:tcW w:w="3916" w:type="dxa"/>
            <w:vAlign w:val="center"/>
          </w:tcPr>
          <w:p w14:paraId="28B66EAA" w14:textId="77777777" w:rsidR="000C1E8A" w:rsidRDefault="000C1E8A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441" w:type="dxa"/>
            <w:vAlign w:val="center"/>
          </w:tcPr>
          <w:p w14:paraId="79C034EA" w14:textId="77777777" w:rsidR="000C1E8A" w:rsidRDefault="00571C2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na koniec roku poprzedniego</w:t>
            </w:r>
          </w:p>
        </w:tc>
        <w:tc>
          <w:tcPr>
            <w:tcW w:w="2715" w:type="dxa"/>
            <w:vAlign w:val="center"/>
          </w:tcPr>
          <w:p w14:paraId="5DBAE7F2" w14:textId="77777777" w:rsidR="000C1E8A" w:rsidRDefault="00571C23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na koniec roku bieżącego</w:t>
            </w:r>
          </w:p>
        </w:tc>
      </w:tr>
      <w:tr w:rsidR="000C1E8A" w14:paraId="4EC60C4B" w14:textId="77777777">
        <w:trPr>
          <w:trHeight w:val="900"/>
        </w:trPr>
        <w:tc>
          <w:tcPr>
            <w:tcW w:w="3916" w:type="dxa"/>
            <w:vAlign w:val="center"/>
          </w:tcPr>
          <w:p w14:paraId="37487B5E" w14:textId="77777777" w:rsidR="000C1E8A" w:rsidRDefault="00571C2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I. Fundusz jednostki na początek okresu (BO)</w:t>
            </w:r>
          </w:p>
        </w:tc>
        <w:tc>
          <w:tcPr>
            <w:tcW w:w="2441" w:type="dxa"/>
            <w:vAlign w:val="center"/>
          </w:tcPr>
          <w:p w14:paraId="72B1958B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387 028,01</w:t>
            </w:r>
          </w:p>
        </w:tc>
        <w:tc>
          <w:tcPr>
            <w:tcW w:w="2715" w:type="dxa"/>
            <w:vAlign w:val="center"/>
          </w:tcPr>
          <w:p w14:paraId="21C2F1E1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1 090 372,54</w:t>
            </w:r>
          </w:p>
        </w:tc>
      </w:tr>
      <w:tr w:rsidR="000C1E8A" w14:paraId="51938B7E" w14:textId="77777777">
        <w:trPr>
          <w:trHeight w:val="600"/>
        </w:trPr>
        <w:tc>
          <w:tcPr>
            <w:tcW w:w="3916" w:type="dxa"/>
            <w:vAlign w:val="center"/>
          </w:tcPr>
          <w:p w14:paraId="1ED284FF" w14:textId="77777777" w:rsidR="000C1E8A" w:rsidRDefault="00571C2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 Zwiększenia funduszu (z tytułu)</w:t>
            </w:r>
          </w:p>
        </w:tc>
        <w:tc>
          <w:tcPr>
            <w:tcW w:w="2441" w:type="dxa"/>
            <w:vAlign w:val="center"/>
          </w:tcPr>
          <w:p w14:paraId="0D44E5C2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1 280 000,00</w:t>
            </w:r>
          </w:p>
        </w:tc>
        <w:tc>
          <w:tcPr>
            <w:tcW w:w="2715" w:type="dxa"/>
            <w:vAlign w:val="center"/>
          </w:tcPr>
          <w:p w14:paraId="272F0305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1 234 625,00</w:t>
            </w:r>
          </w:p>
        </w:tc>
      </w:tr>
      <w:tr w:rsidR="000C1E8A" w14:paraId="7759D8D4" w14:textId="77777777">
        <w:trPr>
          <w:trHeight w:val="600"/>
        </w:trPr>
        <w:tc>
          <w:tcPr>
            <w:tcW w:w="3916" w:type="dxa"/>
            <w:vAlign w:val="center"/>
          </w:tcPr>
          <w:p w14:paraId="245B2EDA" w14:textId="77777777" w:rsidR="000C1E8A" w:rsidRDefault="00571C2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1.1 Zysk bilansowy za rok ubiegły</w:t>
            </w:r>
          </w:p>
        </w:tc>
        <w:tc>
          <w:tcPr>
            <w:tcW w:w="2441" w:type="dxa"/>
            <w:vAlign w:val="center"/>
          </w:tcPr>
          <w:p w14:paraId="59211F03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15" w:type="dxa"/>
            <w:vAlign w:val="center"/>
          </w:tcPr>
          <w:p w14:paraId="66AF8A4F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0C1E8A" w14:paraId="43F23624" w14:textId="77777777">
        <w:trPr>
          <w:trHeight w:val="600"/>
        </w:trPr>
        <w:tc>
          <w:tcPr>
            <w:tcW w:w="3916" w:type="dxa"/>
            <w:vAlign w:val="center"/>
          </w:tcPr>
          <w:p w14:paraId="4CE03EF1" w14:textId="77777777" w:rsidR="000C1E8A" w:rsidRDefault="00571C2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1.2. </w:t>
            </w:r>
            <w:r>
              <w:rPr>
                <w:rFonts w:ascii="Arial" w:hAnsi="Arial"/>
                <w:sz w:val="28"/>
                <w:szCs w:val="28"/>
              </w:rPr>
              <w:t>Zrealizowane wydatki budżetowe</w:t>
            </w:r>
          </w:p>
        </w:tc>
        <w:tc>
          <w:tcPr>
            <w:tcW w:w="2441" w:type="dxa"/>
            <w:vAlign w:val="center"/>
          </w:tcPr>
          <w:p w14:paraId="51DB7C31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1 280 000,00</w:t>
            </w:r>
          </w:p>
        </w:tc>
        <w:tc>
          <w:tcPr>
            <w:tcW w:w="2715" w:type="dxa"/>
            <w:vAlign w:val="center"/>
          </w:tcPr>
          <w:p w14:paraId="6C383911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1 221 625,00</w:t>
            </w:r>
          </w:p>
        </w:tc>
      </w:tr>
      <w:tr w:rsidR="000C1E8A" w14:paraId="2717D4BF" w14:textId="77777777">
        <w:trPr>
          <w:trHeight w:val="1200"/>
        </w:trPr>
        <w:tc>
          <w:tcPr>
            <w:tcW w:w="3916" w:type="dxa"/>
            <w:vAlign w:val="center"/>
          </w:tcPr>
          <w:p w14:paraId="3E13CB62" w14:textId="77777777" w:rsidR="000C1E8A" w:rsidRDefault="00571C2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1.3. Zrealizowane płatności ze środków europejskich</w:t>
            </w:r>
          </w:p>
        </w:tc>
        <w:tc>
          <w:tcPr>
            <w:tcW w:w="2441" w:type="dxa"/>
            <w:vAlign w:val="center"/>
          </w:tcPr>
          <w:p w14:paraId="186E534F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15" w:type="dxa"/>
            <w:vAlign w:val="center"/>
          </w:tcPr>
          <w:p w14:paraId="5B7EB5F8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0C1E8A" w14:paraId="0EE9C1AE" w14:textId="77777777">
        <w:trPr>
          <w:trHeight w:val="600"/>
        </w:trPr>
        <w:tc>
          <w:tcPr>
            <w:tcW w:w="3916" w:type="dxa"/>
            <w:vAlign w:val="center"/>
          </w:tcPr>
          <w:p w14:paraId="58495B35" w14:textId="77777777" w:rsidR="000C1E8A" w:rsidRDefault="00571C2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1.4. Środki na inwestycje</w:t>
            </w:r>
          </w:p>
        </w:tc>
        <w:tc>
          <w:tcPr>
            <w:tcW w:w="2441" w:type="dxa"/>
            <w:vAlign w:val="center"/>
          </w:tcPr>
          <w:p w14:paraId="113CE676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15" w:type="dxa"/>
            <w:vAlign w:val="center"/>
          </w:tcPr>
          <w:p w14:paraId="6861E70D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13 000,00</w:t>
            </w:r>
          </w:p>
        </w:tc>
      </w:tr>
      <w:tr w:rsidR="000C1E8A" w14:paraId="0ECFAE14" w14:textId="77777777">
        <w:trPr>
          <w:trHeight w:val="900"/>
        </w:trPr>
        <w:tc>
          <w:tcPr>
            <w:tcW w:w="3916" w:type="dxa"/>
            <w:vAlign w:val="center"/>
          </w:tcPr>
          <w:p w14:paraId="38B7EF87" w14:textId="77777777" w:rsidR="000C1E8A" w:rsidRDefault="00571C2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1.5. Aktualizacja wyceny środków trwałych</w:t>
            </w:r>
          </w:p>
        </w:tc>
        <w:tc>
          <w:tcPr>
            <w:tcW w:w="2441" w:type="dxa"/>
            <w:vAlign w:val="center"/>
          </w:tcPr>
          <w:p w14:paraId="036CD42E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15" w:type="dxa"/>
            <w:vAlign w:val="center"/>
          </w:tcPr>
          <w:p w14:paraId="01149CCA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0C1E8A" w14:paraId="3B2CF2FA" w14:textId="77777777">
        <w:trPr>
          <w:trHeight w:val="2100"/>
        </w:trPr>
        <w:tc>
          <w:tcPr>
            <w:tcW w:w="3916" w:type="dxa"/>
            <w:vAlign w:val="center"/>
          </w:tcPr>
          <w:p w14:paraId="5055EDB0" w14:textId="77777777" w:rsidR="000C1E8A" w:rsidRDefault="00571C2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1.6. Nieodpłatnie otrzymane środki trwałe i </w:t>
            </w:r>
            <w:r>
              <w:rPr>
                <w:rFonts w:ascii="Arial" w:hAnsi="Arial"/>
                <w:sz w:val="28"/>
                <w:szCs w:val="28"/>
              </w:rPr>
              <w:t>środki trwałe w budowie oraz wartości niematerialne i prawne</w:t>
            </w:r>
          </w:p>
        </w:tc>
        <w:tc>
          <w:tcPr>
            <w:tcW w:w="2441" w:type="dxa"/>
            <w:vAlign w:val="center"/>
          </w:tcPr>
          <w:p w14:paraId="0B8C55AA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15" w:type="dxa"/>
            <w:vAlign w:val="center"/>
          </w:tcPr>
          <w:p w14:paraId="21BF18F3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0C1E8A" w14:paraId="4397922C" w14:textId="77777777">
        <w:trPr>
          <w:trHeight w:val="1500"/>
        </w:trPr>
        <w:tc>
          <w:tcPr>
            <w:tcW w:w="3916" w:type="dxa"/>
            <w:vAlign w:val="center"/>
          </w:tcPr>
          <w:p w14:paraId="46722C59" w14:textId="77777777" w:rsidR="000C1E8A" w:rsidRDefault="00571C2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1.7. Aktywa przejęte od zlikwidowanych lub połączonych jednostek</w:t>
            </w:r>
          </w:p>
        </w:tc>
        <w:tc>
          <w:tcPr>
            <w:tcW w:w="2441" w:type="dxa"/>
            <w:vAlign w:val="center"/>
          </w:tcPr>
          <w:p w14:paraId="251C2FC5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15" w:type="dxa"/>
            <w:vAlign w:val="center"/>
          </w:tcPr>
          <w:p w14:paraId="45615F73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0C1E8A" w14:paraId="46371FF5" w14:textId="77777777">
        <w:trPr>
          <w:trHeight w:val="1200"/>
        </w:trPr>
        <w:tc>
          <w:tcPr>
            <w:tcW w:w="3916" w:type="dxa"/>
            <w:vAlign w:val="center"/>
          </w:tcPr>
          <w:p w14:paraId="28CF8232" w14:textId="77777777" w:rsidR="000C1E8A" w:rsidRDefault="00571C2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1.8. Aktywa otrzymane w ramach centralnego zaopatrzenia</w:t>
            </w:r>
          </w:p>
        </w:tc>
        <w:tc>
          <w:tcPr>
            <w:tcW w:w="2441" w:type="dxa"/>
            <w:vAlign w:val="center"/>
          </w:tcPr>
          <w:p w14:paraId="3BC27455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15" w:type="dxa"/>
            <w:vAlign w:val="center"/>
          </w:tcPr>
          <w:p w14:paraId="2DF5B540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0C1E8A" w14:paraId="5ADFDD2D" w14:textId="77777777">
        <w:trPr>
          <w:trHeight w:val="1200"/>
        </w:trPr>
        <w:tc>
          <w:tcPr>
            <w:tcW w:w="3916" w:type="dxa"/>
            <w:vAlign w:val="center"/>
          </w:tcPr>
          <w:p w14:paraId="4BD1CD53" w14:textId="77777777" w:rsidR="000C1E8A" w:rsidRDefault="00571C2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1.9. Pozostałe odpisy z wyniku finansowego za rok </w:t>
            </w:r>
            <w:r>
              <w:rPr>
                <w:rFonts w:ascii="Arial" w:hAnsi="Arial"/>
                <w:sz w:val="28"/>
                <w:szCs w:val="28"/>
              </w:rPr>
              <w:t>bieżący</w:t>
            </w:r>
          </w:p>
        </w:tc>
        <w:tc>
          <w:tcPr>
            <w:tcW w:w="2441" w:type="dxa"/>
            <w:vAlign w:val="center"/>
          </w:tcPr>
          <w:p w14:paraId="4ABEC264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15" w:type="dxa"/>
            <w:vAlign w:val="center"/>
          </w:tcPr>
          <w:p w14:paraId="13345CFC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0C1E8A" w14:paraId="543271D0" w14:textId="77777777">
        <w:trPr>
          <w:trHeight w:val="600"/>
        </w:trPr>
        <w:tc>
          <w:tcPr>
            <w:tcW w:w="3916" w:type="dxa"/>
            <w:vAlign w:val="center"/>
          </w:tcPr>
          <w:p w14:paraId="5934F8F0" w14:textId="77777777" w:rsidR="000C1E8A" w:rsidRDefault="00571C2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1.10. Inne zwiększenia</w:t>
            </w:r>
          </w:p>
        </w:tc>
        <w:tc>
          <w:tcPr>
            <w:tcW w:w="2441" w:type="dxa"/>
            <w:vAlign w:val="center"/>
          </w:tcPr>
          <w:p w14:paraId="603EF71D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15" w:type="dxa"/>
            <w:vAlign w:val="center"/>
          </w:tcPr>
          <w:p w14:paraId="6A9AEAE6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0C1E8A" w14:paraId="372D96F8" w14:textId="77777777">
        <w:trPr>
          <w:trHeight w:val="900"/>
        </w:trPr>
        <w:tc>
          <w:tcPr>
            <w:tcW w:w="3916" w:type="dxa"/>
            <w:vAlign w:val="center"/>
          </w:tcPr>
          <w:p w14:paraId="2E4526DC" w14:textId="77777777" w:rsidR="000C1E8A" w:rsidRDefault="00571C2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 Zmniejszenia funduszu jednostki (z tytułu)</w:t>
            </w:r>
          </w:p>
        </w:tc>
        <w:tc>
          <w:tcPr>
            <w:tcW w:w="2441" w:type="dxa"/>
            <w:vAlign w:val="center"/>
          </w:tcPr>
          <w:p w14:paraId="2DF087C9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576 655,47</w:t>
            </w:r>
          </w:p>
        </w:tc>
        <w:tc>
          <w:tcPr>
            <w:tcW w:w="2715" w:type="dxa"/>
            <w:vAlign w:val="center"/>
          </w:tcPr>
          <w:p w14:paraId="7F95F6E4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1 260 177,74</w:t>
            </w:r>
          </w:p>
        </w:tc>
      </w:tr>
      <w:tr w:rsidR="000C1E8A" w14:paraId="37CC3111" w14:textId="77777777">
        <w:trPr>
          <w:trHeight w:val="600"/>
        </w:trPr>
        <w:tc>
          <w:tcPr>
            <w:tcW w:w="3916" w:type="dxa"/>
            <w:vAlign w:val="center"/>
          </w:tcPr>
          <w:p w14:paraId="6B057199" w14:textId="77777777" w:rsidR="000C1E8A" w:rsidRDefault="00571C2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lastRenderedPageBreak/>
              <w:t>2.1. Strata za rok ubiegły</w:t>
            </w:r>
          </w:p>
        </w:tc>
        <w:tc>
          <w:tcPr>
            <w:tcW w:w="2441" w:type="dxa"/>
            <w:vAlign w:val="center"/>
          </w:tcPr>
          <w:p w14:paraId="4AE3DBB0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428 511,46</w:t>
            </w:r>
          </w:p>
        </w:tc>
        <w:tc>
          <w:tcPr>
            <w:tcW w:w="2715" w:type="dxa"/>
            <w:vAlign w:val="center"/>
          </w:tcPr>
          <w:p w14:paraId="226FD85D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1 140 211,54</w:t>
            </w:r>
          </w:p>
        </w:tc>
      </w:tr>
      <w:tr w:rsidR="000C1E8A" w14:paraId="27A355C7" w14:textId="77777777">
        <w:trPr>
          <w:trHeight w:val="900"/>
        </w:trPr>
        <w:tc>
          <w:tcPr>
            <w:tcW w:w="3916" w:type="dxa"/>
            <w:vAlign w:val="center"/>
          </w:tcPr>
          <w:p w14:paraId="2F832561" w14:textId="77777777" w:rsidR="000C1E8A" w:rsidRDefault="00571C2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2.2. Zrealizowane dochody budżetowe</w:t>
            </w:r>
          </w:p>
        </w:tc>
        <w:tc>
          <w:tcPr>
            <w:tcW w:w="2441" w:type="dxa"/>
            <w:vAlign w:val="center"/>
          </w:tcPr>
          <w:p w14:paraId="553DC9A9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148 144,01</w:t>
            </w:r>
          </w:p>
        </w:tc>
        <w:tc>
          <w:tcPr>
            <w:tcW w:w="2715" w:type="dxa"/>
            <w:vAlign w:val="center"/>
          </w:tcPr>
          <w:p w14:paraId="3E6E46EA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106 966,20</w:t>
            </w:r>
          </w:p>
        </w:tc>
      </w:tr>
      <w:tr w:rsidR="000C1E8A" w14:paraId="054CA8CF" w14:textId="77777777">
        <w:trPr>
          <w:trHeight w:val="1800"/>
        </w:trPr>
        <w:tc>
          <w:tcPr>
            <w:tcW w:w="3916" w:type="dxa"/>
            <w:vAlign w:val="center"/>
          </w:tcPr>
          <w:p w14:paraId="401E73CE" w14:textId="77777777" w:rsidR="000C1E8A" w:rsidRDefault="00571C2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2.3. Rozliczenie wyniku </w:t>
            </w:r>
            <w:r>
              <w:rPr>
                <w:rFonts w:ascii="Arial" w:hAnsi="Arial"/>
                <w:sz w:val="28"/>
                <w:szCs w:val="28"/>
              </w:rPr>
              <w:t>finansowego i środków obrotowych za rok ubiegły</w:t>
            </w:r>
          </w:p>
        </w:tc>
        <w:tc>
          <w:tcPr>
            <w:tcW w:w="2441" w:type="dxa"/>
            <w:vAlign w:val="center"/>
          </w:tcPr>
          <w:p w14:paraId="6B4D8EBC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15" w:type="dxa"/>
            <w:vAlign w:val="center"/>
          </w:tcPr>
          <w:p w14:paraId="1969A787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0C1E8A" w14:paraId="78EDC68D" w14:textId="77777777">
        <w:trPr>
          <w:trHeight w:val="600"/>
        </w:trPr>
        <w:tc>
          <w:tcPr>
            <w:tcW w:w="3916" w:type="dxa"/>
            <w:vAlign w:val="center"/>
          </w:tcPr>
          <w:p w14:paraId="68F4BA9B" w14:textId="77777777" w:rsidR="000C1E8A" w:rsidRDefault="00571C2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2.4. Dotacje i środki na inwestycje</w:t>
            </w:r>
          </w:p>
        </w:tc>
        <w:tc>
          <w:tcPr>
            <w:tcW w:w="2441" w:type="dxa"/>
            <w:vAlign w:val="center"/>
          </w:tcPr>
          <w:p w14:paraId="0FA7A900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15" w:type="dxa"/>
            <w:vAlign w:val="center"/>
          </w:tcPr>
          <w:p w14:paraId="2E0B0C90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13 000,00</w:t>
            </w:r>
          </w:p>
        </w:tc>
      </w:tr>
      <w:tr w:rsidR="000C1E8A" w14:paraId="25907B9C" w14:textId="77777777">
        <w:trPr>
          <w:trHeight w:val="600"/>
        </w:trPr>
        <w:tc>
          <w:tcPr>
            <w:tcW w:w="3916" w:type="dxa"/>
            <w:vAlign w:val="center"/>
          </w:tcPr>
          <w:p w14:paraId="54E7120C" w14:textId="77777777" w:rsidR="000C1E8A" w:rsidRDefault="00571C2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2.5. Aktualizacja środków trwałych</w:t>
            </w:r>
          </w:p>
        </w:tc>
        <w:tc>
          <w:tcPr>
            <w:tcW w:w="2441" w:type="dxa"/>
            <w:vAlign w:val="center"/>
          </w:tcPr>
          <w:p w14:paraId="3FAC35E5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15" w:type="dxa"/>
            <w:vAlign w:val="center"/>
          </w:tcPr>
          <w:p w14:paraId="4C9C5C5F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0C1E8A" w14:paraId="037538F8" w14:textId="77777777">
        <w:trPr>
          <w:trHeight w:val="3000"/>
        </w:trPr>
        <w:tc>
          <w:tcPr>
            <w:tcW w:w="3916" w:type="dxa"/>
            <w:vAlign w:val="center"/>
          </w:tcPr>
          <w:p w14:paraId="32E2D402" w14:textId="77777777" w:rsidR="000C1E8A" w:rsidRDefault="00571C2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2.6. Wartość sprzedanych i nieodpłatnie przekazanych środków trwałych i środków trwałych w budowie oraz </w:t>
            </w:r>
            <w:r>
              <w:rPr>
                <w:rFonts w:ascii="Arial" w:hAnsi="Arial"/>
                <w:sz w:val="28"/>
                <w:szCs w:val="28"/>
              </w:rPr>
              <w:t>wartości niematerialnych i prawnych</w:t>
            </w:r>
          </w:p>
        </w:tc>
        <w:tc>
          <w:tcPr>
            <w:tcW w:w="2441" w:type="dxa"/>
            <w:vAlign w:val="center"/>
          </w:tcPr>
          <w:p w14:paraId="42EC1D61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15" w:type="dxa"/>
            <w:vAlign w:val="center"/>
          </w:tcPr>
          <w:p w14:paraId="772FE51B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0C1E8A" w14:paraId="25D63580" w14:textId="77777777">
        <w:trPr>
          <w:trHeight w:val="1500"/>
        </w:trPr>
        <w:tc>
          <w:tcPr>
            <w:tcW w:w="3916" w:type="dxa"/>
            <w:vAlign w:val="center"/>
          </w:tcPr>
          <w:p w14:paraId="431734D2" w14:textId="77777777" w:rsidR="000C1E8A" w:rsidRDefault="00571C2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2.7. Pasywa przejęte od zlikwidowanych lub połączonych jednostek</w:t>
            </w:r>
          </w:p>
        </w:tc>
        <w:tc>
          <w:tcPr>
            <w:tcW w:w="2441" w:type="dxa"/>
            <w:vAlign w:val="center"/>
          </w:tcPr>
          <w:p w14:paraId="6C523500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15" w:type="dxa"/>
            <w:vAlign w:val="center"/>
          </w:tcPr>
          <w:p w14:paraId="28C8439A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0C1E8A" w14:paraId="4763B685" w14:textId="77777777">
        <w:trPr>
          <w:trHeight w:val="1200"/>
        </w:trPr>
        <w:tc>
          <w:tcPr>
            <w:tcW w:w="3916" w:type="dxa"/>
            <w:vAlign w:val="center"/>
          </w:tcPr>
          <w:p w14:paraId="25CF3F13" w14:textId="77777777" w:rsidR="000C1E8A" w:rsidRDefault="00571C2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2.8. Aktywa przekazane w ramach centralnego zaopatrzenia</w:t>
            </w:r>
          </w:p>
        </w:tc>
        <w:tc>
          <w:tcPr>
            <w:tcW w:w="2441" w:type="dxa"/>
            <w:vAlign w:val="center"/>
          </w:tcPr>
          <w:p w14:paraId="1AB391FF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15" w:type="dxa"/>
            <w:vAlign w:val="center"/>
          </w:tcPr>
          <w:p w14:paraId="75F4B229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0C1E8A" w14:paraId="5DFBD047" w14:textId="77777777">
        <w:trPr>
          <w:trHeight w:val="600"/>
        </w:trPr>
        <w:tc>
          <w:tcPr>
            <w:tcW w:w="3916" w:type="dxa"/>
            <w:vAlign w:val="center"/>
          </w:tcPr>
          <w:p w14:paraId="575DEE3F" w14:textId="77777777" w:rsidR="000C1E8A" w:rsidRDefault="00571C2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2.9. Inne zmniejszenia</w:t>
            </w:r>
          </w:p>
        </w:tc>
        <w:tc>
          <w:tcPr>
            <w:tcW w:w="2441" w:type="dxa"/>
            <w:vAlign w:val="center"/>
          </w:tcPr>
          <w:p w14:paraId="4989D03C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15" w:type="dxa"/>
            <w:vAlign w:val="center"/>
          </w:tcPr>
          <w:p w14:paraId="47067679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0C1E8A" w14:paraId="25475A62" w14:textId="77777777">
        <w:trPr>
          <w:trHeight w:val="900"/>
        </w:trPr>
        <w:tc>
          <w:tcPr>
            <w:tcW w:w="3916" w:type="dxa"/>
            <w:vAlign w:val="center"/>
          </w:tcPr>
          <w:p w14:paraId="20722935" w14:textId="77777777" w:rsidR="000C1E8A" w:rsidRDefault="00571C2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II. Fundusz jednostki na koniec okresu (BZ)</w:t>
            </w:r>
          </w:p>
        </w:tc>
        <w:tc>
          <w:tcPr>
            <w:tcW w:w="2441" w:type="dxa"/>
            <w:vAlign w:val="center"/>
          </w:tcPr>
          <w:p w14:paraId="56A3A1EE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1 090 </w:t>
            </w:r>
            <w:r>
              <w:rPr>
                <w:rFonts w:ascii="Arial" w:hAnsi="Arial"/>
                <w:sz w:val="28"/>
                <w:szCs w:val="28"/>
              </w:rPr>
              <w:t>372,54</w:t>
            </w:r>
          </w:p>
        </w:tc>
        <w:tc>
          <w:tcPr>
            <w:tcW w:w="2715" w:type="dxa"/>
            <w:vAlign w:val="center"/>
          </w:tcPr>
          <w:p w14:paraId="5E8812D5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1 064 819,80</w:t>
            </w:r>
          </w:p>
        </w:tc>
      </w:tr>
      <w:tr w:rsidR="000C1E8A" w14:paraId="5F08DD65" w14:textId="77777777">
        <w:trPr>
          <w:trHeight w:val="900"/>
        </w:trPr>
        <w:tc>
          <w:tcPr>
            <w:tcW w:w="3916" w:type="dxa"/>
            <w:vAlign w:val="center"/>
          </w:tcPr>
          <w:p w14:paraId="3D6335BF" w14:textId="77777777" w:rsidR="000C1E8A" w:rsidRDefault="00571C2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III. Wynik finansowy netto za rok bieżący (+,-)</w:t>
            </w:r>
          </w:p>
        </w:tc>
        <w:tc>
          <w:tcPr>
            <w:tcW w:w="2441" w:type="dxa"/>
            <w:vAlign w:val="center"/>
          </w:tcPr>
          <w:p w14:paraId="2211B98E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-1 140 211,54</w:t>
            </w:r>
          </w:p>
        </w:tc>
        <w:tc>
          <w:tcPr>
            <w:tcW w:w="2715" w:type="dxa"/>
            <w:vAlign w:val="center"/>
          </w:tcPr>
          <w:p w14:paraId="1D0835E9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-1 061 151,61</w:t>
            </w:r>
          </w:p>
        </w:tc>
      </w:tr>
      <w:tr w:rsidR="000C1E8A" w14:paraId="0B4A5644" w14:textId="77777777">
        <w:trPr>
          <w:trHeight w:val="300"/>
        </w:trPr>
        <w:tc>
          <w:tcPr>
            <w:tcW w:w="3916" w:type="dxa"/>
            <w:vAlign w:val="center"/>
          </w:tcPr>
          <w:p w14:paraId="72225CE8" w14:textId="77777777" w:rsidR="000C1E8A" w:rsidRDefault="00571C2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 zysk netto (+)</w:t>
            </w:r>
          </w:p>
        </w:tc>
        <w:tc>
          <w:tcPr>
            <w:tcW w:w="2441" w:type="dxa"/>
            <w:vAlign w:val="center"/>
          </w:tcPr>
          <w:p w14:paraId="2B531BBB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15" w:type="dxa"/>
            <w:vAlign w:val="center"/>
          </w:tcPr>
          <w:p w14:paraId="2E5B9AB1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0C1E8A" w14:paraId="621C1F62" w14:textId="77777777">
        <w:trPr>
          <w:trHeight w:val="300"/>
        </w:trPr>
        <w:tc>
          <w:tcPr>
            <w:tcW w:w="3916" w:type="dxa"/>
            <w:vAlign w:val="center"/>
          </w:tcPr>
          <w:p w14:paraId="3DDC19A3" w14:textId="77777777" w:rsidR="000C1E8A" w:rsidRDefault="00571C2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 strata netto (-)</w:t>
            </w:r>
          </w:p>
        </w:tc>
        <w:tc>
          <w:tcPr>
            <w:tcW w:w="2441" w:type="dxa"/>
            <w:vAlign w:val="center"/>
          </w:tcPr>
          <w:p w14:paraId="3FD05F20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-1 140 211,54</w:t>
            </w:r>
          </w:p>
        </w:tc>
        <w:tc>
          <w:tcPr>
            <w:tcW w:w="2715" w:type="dxa"/>
            <w:vAlign w:val="center"/>
          </w:tcPr>
          <w:p w14:paraId="37DE3175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-1 061 151,61</w:t>
            </w:r>
          </w:p>
        </w:tc>
      </w:tr>
      <w:tr w:rsidR="000C1E8A" w14:paraId="63902C05" w14:textId="77777777">
        <w:trPr>
          <w:trHeight w:val="900"/>
        </w:trPr>
        <w:tc>
          <w:tcPr>
            <w:tcW w:w="3916" w:type="dxa"/>
            <w:vAlign w:val="center"/>
          </w:tcPr>
          <w:p w14:paraId="6BECD02F" w14:textId="77777777" w:rsidR="000C1E8A" w:rsidRDefault="00571C2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3. nadwyżka środków obrotowych</w:t>
            </w:r>
          </w:p>
        </w:tc>
        <w:tc>
          <w:tcPr>
            <w:tcW w:w="2441" w:type="dxa"/>
            <w:vAlign w:val="center"/>
          </w:tcPr>
          <w:p w14:paraId="76FB9641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715" w:type="dxa"/>
            <w:vAlign w:val="center"/>
          </w:tcPr>
          <w:p w14:paraId="2CC02D22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0C1E8A" w14:paraId="48A46F33" w14:textId="77777777">
        <w:trPr>
          <w:trHeight w:val="300"/>
        </w:trPr>
        <w:tc>
          <w:tcPr>
            <w:tcW w:w="3916" w:type="dxa"/>
            <w:vAlign w:val="center"/>
          </w:tcPr>
          <w:p w14:paraId="2CF59E46" w14:textId="77777777" w:rsidR="000C1E8A" w:rsidRDefault="00571C2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IV. Fundusz (II+,-III)</w:t>
            </w:r>
          </w:p>
        </w:tc>
        <w:tc>
          <w:tcPr>
            <w:tcW w:w="2441" w:type="dxa"/>
            <w:vAlign w:val="center"/>
          </w:tcPr>
          <w:p w14:paraId="65C5B0D4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-49 839,00</w:t>
            </w:r>
          </w:p>
        </w:tc>
        <w:tc>
          <w:tcPr>
            <w:tcW w:w="2715" w:type="dxa"/>
            <w:vAlign w:val="center"/>
          </w:tcPr>
          <w:p w14:paraId="6C1DA734" w14:textId="77777777" w:rsidR="000C1E8A" w:rsidRDefault="00571C23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3 668,19</w:t>
            </w:r>
          </w:p>
        </w:tc>
      </w:tr>
    </w:tbl>
    <w:p w14:paraId="674AD45D" w14:textId="77777777" w:rsidR="000C1E8A" w:rsidRDefault="000C1E8A">
      <w:pPr>
        <w:rPr>
          <w:rFonts w:ascii="Arial" w:hAnsi="Arial"/>
          <w:sz w:val="28"/>
          <w:szCs w:val="28"/>
        </w:rPr>
      </w:pPr>
    </w:p>
    <w:p w14:paraId="3CC1CFA6" w14:textId="77777777" w:rsidR="000C1E8A" w:rsidRDefault="000C1E8A">
      <w:pPr>
        <w:rPr>
          <w:rFonts w:ascii="Arial" w:hAnsi="Arial"/>
          <w:sz w:val="28"/>
          <w:szCs w:val="28"/>
        </w:rPr>
      </w:pPr>
    </w:p>
    <w:sectPr w:rsidR="000C1E8A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E8A"/>
    <w:rsid w:val="000C1E8A"/>
    <w:rsid w:val="0057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4A8C"/>
  <w15:docId w15:val="{157EEAD8-C658-4289-AAD5-269FC93C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dc:description/>
  <cp:lastModifiedBy>Sandra</cp:lastModifiedBy>
  <cp:revision>2</cp:revision>
  <dcterms:created xsi:type="dcterms:W3CDTF">2021-09-03T12:45:00Z</dcterms:created>
  <dcterms:modified xsi:type="dcterms:W3CDTF">2021-09-03T12:45:00Z</dcterms:modified>
  <dc:language>pl-PL</dc:language>
</cp:coreProperties>
</file>